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CD" w:rsidRDefault="000F31CD" w:rsidP="00D477A4">
      <w:pPr>
        <w:pStyle w:val="Title"/>
        <w:jc w:val="left"/>
        <w:rPr>
          <w:rFonts w:ascii="Bookman Old Style" w:hAnsi="Bookman Old Style" w:cs="Bookman Old Style"/>
          <w:b w:val="0"/>
          <w:bCs w:val="0"/>
        </w:rPr>
      </w:pPr>
      <w:r w:rsidRPr="00E1499F">
        <w:rPr>
          <w:rFonts w:ascii="Nudi Akshara-09" w:hAnsi="Nudi Akshara-09" w:cs="Nudi Akshara-09"/>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6.25pt;height:104.25pt;visibility:visible">
            <v:imagedata r:id="rId5" o:title="" croptop="22295f" cropbottom="26084f" cropleft="3895f" cropright="3763f"/>
          </v:shape>
        </w:pict>
      </w:r>
    </w:p>
    <w:p w:rsidR="000F31CD" w:rsidRDefault="000F31CD" w:rsidP="00D477A4">
      <w:pPr>
        <w:jc w:val="both"/>
        <w:rPr>
          <w:rFonts w:ascii="Bookman Old Style" w:hAnsi="Bookman Old Style" w:cs="Bookman Old Style"/>
          <w:color w:val="333333"/>
        </w:rPr>
      </w:pPr>
      <w:r>
        <w:rPr>
          <w:rFonts w:ascii="Bookman Old Style" w:hAnsi="Bookman Old Style" w:cs="Bookman Old Style"/>
          <w:color w:val="333333"/>
        </w:rPr>
        <w:t xml:space="preserve">   Reg(E)/Exam/PG/April/May-2016                                              </w:t>
      </w:r>
      <w:r>
        <w:rPr>
          <w:rFonts w:ascii="Bookman Old Style" w:hAnsi="Bookman Old Style" w:cs="Bookman Old Style"/>
          <w:color w:val="333333"/>
        </w:rPr>
        <w:tab/>
        <w:t>Date: 16/04/2016</w:t>
      </w:r>
    </w:p>
    <w:p w:rsidR="000F31CD" w:rsidRPr="0060392E" w:rsidRDefault="000F31CD" w:rsidP="00D477A4">
      <w:pPr>
        <w:ind w:left="720" w:hanging="720"/>
        <w:rPr>
          <w:rFonts w:ascii="Bookman Old Style" w:hAnsi="Bookman Old Style" w:cs="Bookman Old Style"/>
          <w:color w:val="333333"/>
          <w:sz w:val="14"/>
          <w:szCs w:val="14"/>
        </w:rPr>
      </w:pPr>
      <w:r>
        <w:rPr>
          <w:rFonts w:ascii="Bookman Old Style" w:hAnsi="Bookman Old Style" w:cs="Bookman Old Style"/>
          <w:color w:val="333333"/>
        </w:rPr>
        <w:t xml:space="preserve"> </w:t>
      </w:r>
    </w:p>
    <w:p w:rsidR="000F31CD" w:rsidRPr="00EB43E9" w:rsidRDefault="000F31CD" w:rsidP="00D477A4">
      <w:pPr>
        <w:ind w:left="5040" w:hanging="720"/>
        <w:rPr>
          <w:rFonts w:ascii="Bookman Old Style" w:hAnsi="Bookman Old Style" w:cs="Bookman Old Style"/>
          <w:b/>
          <w:bCs/>
          <w:color w:val="333333"/>
          <w:sz w:val="14"/>
          <w:szCs w:val="14"/>
          <w:u w:val="single"/>
        </w:rPr>
      </w:pPr>
    </w:p>
    <w:p w:rsidR="000F31CD" w:rsidRPr="00A5217C" w:rsidRDefault="000F31CD" w:rsidP="00D477A4">
      <w:pPr>
        <w:ind w:left="5040" w:hanging="720"/>
        <w:rPr>
          <w:rFonts w:ascii="Bookman Old Style" w:hAnsi="Bookman Old Style" w:cs="Bookman Old Style"/>
          <w:b/>
          <w:bCs/>
          <w:color w:val="333333"/>
          <w:sz w:val="14"/>
          <w:szCs w:val="14"/>
          <w:u w:val="single"/>
        </w:rPr>
      </w:pPr>
    </w:p>
    <w:p w:rsidR="000F31CD" w:rsidRPr="00561EAE" w:rsidRDefault="000F31CD" w:rsidP="00D477A4">
      <w:pPr>
        <w:ind w:left="5040" w:hanging="720"/>
        <w:rPr>
          <w:rFonts w:ascii="Bookman Old Style" w:hAnsi="Bookman Old Style" w:cs="Bookman Old Style"/>
          <w:b/>
          <w:bCs/>
          <w:color w:val="333333"/>
          <w:sz w:val="32"/>
          <w:szCs w:val="32"/>
          <w:u w:val="single"/>
        </w:rPr>
      </w:pPr>
      <w:r w:rsidRPr="00561EAE">
        <w:rPr>
          <w:rFonts w:ascii="Bookman Old Style" w:hAnsi="Bookman Old Style" w:cs="Bookman Old Style"/>
          <w:b/>
          <w:bCs/>
          <w:color w:val="333333"/>
          <w:sz w:val="32"/>
          <w:szCs w:val="32"/>
          <w:u w:val="single"/>
        </w:rPr>
        <w:t>CIRCULAR</w:t>
      </w:r>
    </w:p>
    <w:p w:rsidR="000F31CD" w:rsidRPr="00EB43E9" w:rsidRDefault="000F31CD" w:rsidP="00D477A4">
      <w:pPr>
        <w:ind w:left="5040" w:hanging="720"/>
        <w:rPr>
          <w:rFonts w:ascii="Bookman Old Style" w:hAnsi="Bookman Old Style" w:cs="Bookman Old Style"/>
          <w:b/>
          <w:bCs/>
          <w:color w:val="333333"/>
          <w:sz w:val="20"/>
          <w:szCs w:val="20"/>
          <w:u w:val="single"/>
        </w:rPr>
      </w:pPr>
    </w:p>
    <w:p w:rsidR="000F31CD" w:rsidRPr="00EB43E9" w:rsidRDefault="000F31CD" w:rsidP="00D477A4">
      <w:pPr>
        <w:rPr>
          <w:rFonts w:ascii="Bookman Old Style" w:hAnsi="Bookman Old Style" w:cs="Bookman Old Style"/>
          <w:color w:val="333333"/>
          <w:sz w:val="22"/>
          <w:szCs w:val="22"/>
        </w:rPr>
      </w:pPr>
      <w:r w:rsidRPr="00EB43E9">
        <w:rPr>
          <w:rFonts w:ascii="Bookman Old Style" w:hAnsi="Bookman Old Style" w:cs="Bookman Old Style"/>
          <w:color w:val="333333"/>
          <w:sz w:val="22"/>
          <w:szCs w:val="22"/>
        </w:rPr>
        <w:t>To</w:t>
      </w:r>
      <w:r>
        <w:rPr>
          <w:rFonts w:ascii="Bookman Old Style" w:hAnsi="Bookman Old Style" w:cs="Bookman Old Style"/>
          <w:color w:val="333333"/>
          <w:sz w:val="22"/>
          <w:szCs w:val="22"/>
        </w:rPr>
        <w:t>,</w:t>
      </w:r>
    </w:p>
    <w:p w:rsidR="000F31CD" w:rsidRDefault="000F31CD" w:rsidP="00D477A4">
      <w:pPr>
        <w:rPr>
          <w:rFonts w:ascii="Bookman Old Style" w:hAnsi="Bookman Old Style" w:cs="Bookman Old Style"/>
          <w:color w:val="333333"/>
          <w:sz w:val="22"/>
          <w:szCs w:val="22"/>
        </w:rPr>
      </w:pPr>
    </w:p>
    <w:p w:rsidR="000F31CD" w:rsidRPr="00EB43E9" w:rsidRDefault="000F31CD" w:rsidP="00D477A4">
      <w:pPr>
        <w:rPr>
          <w:rFonts w:ascii="Bookman Old Style" w:hAnsi="Bookman Old Style" w:cs="Bookman Old Style"/>
          <w:color w:val="333333"/>
          <w:sz w:val="22"/>
          <w:szCs w:val="22"/>
        </w:rPr>
      </w:pPr>
      <w:r w:rsidRPr="00EB43E9">
        <w:rPr>
          <w:rFonts w:ascii="Bookman Old Style" w:hAnsi="Bookman Old Style" w:cs="Bookman Old Style"/>
          <w:color w:val="333333"/>
          <w:sz w:val="22"/>
          <w:szCs w:val="22"/>
        </w:rPr>
        <w:t>The Principal’s / Dean of all the Post Graduate</w:t>
      </w:r>
    </w:p>
    <w:p w:rsidR="000F31CD" w:rsidRPr="00EB43E9" w:rsidRDefault="000F31CD" w:rsidP="00D477A4">
      <w:pPr>
        <w:rPr>
          <w:rFonts w:ascii="Bookman Old Style" w:hAnsi="Bookman Old Style" w:cs="Bookman Old Style"/>
          <w:color w:val="333333"/>
          <w:sz w:val="22"/>
          <w:szCs w:val="22"/>
        </w:rPr>
      </w:pPr>
      <w:r w:rsidRPr="00EB43E9">
        <w:rPr>
          <w:rFonts w:ascii="Bookman Old Style" w:hAnsi="Bookman Old Style" w:cs="Bookman Old Style"/>
          <w:color w:val="333333"/>
          <w:sz w:val="22"/>
          <w:szCs w:val="22"/>
        </w:rPr>
        <w:t>Medical Colleges affiliated to RGUHS</w:t>
      </w:r>
    </w:p>
    <w:p w:rsidR="000F31CD" w:rsidRPr="008A5EEC" w:rsidRDefault="000F31CD" w:rsidP="00D477A4">
      <w:pPr>
        <w:rPr>
          <w:rFonts w:ascii="Bookman Old Style" w:hAnsi="Bookman Old Style" w:cs="Bookman Old Style"/>
          <w:color w:val="333333"/>
          <w:sz w:val="12"/>
          <w:szCs w:val="12"/>
        </w:rPr>
      </w:pPr>
    </w:p>
    <w:p w:rsidR="000F31CD" w:rsidRPr="00EB43E9" w:rsidRDefault="000F31CD" w:rsidP="00D477A4">
      <w:pPr>
        <w:ind w:left="720"/>
        <w:rPr>
          <w:rFonts w:ascii="Bookman Old Style" w:hAnsi="Bookman Old Style" w:cs="Bookman Old Style"/>
          <w:color w:val="333333"/>
          <w:sz w:val="22"/>
          <w:szCs w:val="22"/>
        </w:rPr>
      </w:pPr>
    </w:p>
    <w:tbl>
      <w:tblPr>
        <w:tblW w:w="0" w:type="auto"/>
        <w:jc w:val="center"/>
        <w:tblLook w:val="01E0"/>
      </w:tblPr>
      <w:tblGrid>
        <w:gridCol w:w="1084"/>
        <w:gridCol w:w="7784"/>
      </w:tblGrid>
      <w:tr w:rsidR="000F31CD" w:rsidRPr="00EB43E9">
        <w:trPr>
          <w:trHeight w:val="405"/>
          <w:jc w:val="center"/>
        </w:trPr>
        <w:tc>
          <w:tcPr>
            <w:tcW w:w="1084" w:type="dxa"/>
          </w:tcPr>
          <w:p w:rsidR="000F31CD" w:rsidRPr="00EB43E9" w:rsidRDefault="000F31CD" w:rsidP="00D53A90">
            <w:pPr>
              <w:rPr>
                <w:rFonts w:ascii="Bookman Old Style" w:hAnsi="Bookman Old Style" w:cs="Bookman Old Style"/>
                <w:color w:val="333333"/>
              </w:rPr>
            </w:pPr>
            <w:r w:rsidRPr="00EB43E9">
              <w:rPr>
                <w:rFonts w:ascii="Bookman Old Style" w:hAnsi="Bookman Old Style" w:cs="Bookman Old Style"/>
                <w:color w:val="333333"/>
                <w:sz w:val="22"/>
                <w:szCs w:val="22"/>
              </w:rPr>
              <w:t>Sub :</w:t>
            </w:r>
          </w:p>
        </w:tc>
        <w:tc>
          <w:tcPr>
            <w:tcW w:w="7784" w:type="dxa"/>
          </w:tcPr>
          <w:p w:rsidR="000F31CD" w:rsidRPr="00EB43E9" w:rsidRDefault="000F31CD" w:rsidP="00D53A90">
            <w:pPr>
              <w:jc w:val="both"/>
              <w:rPr>
                <w:rFonts w:ascii="Bookman Old Style" w:hAnsi="Bookman Old Style" w:cs="Bookman Old Style"/>
                <w:color w:val="333333"/>
              </w:rPr>
            </w:pPr>
            <w:r w:rsidRPr="00EB43E9">
              <w:rPr>
                <w:rFonts w:ascii="Bookman Old Style" w:hAnsi="Bookman Old Style" w:cs="Bookman Old Style"/>
                <w:color w:val="333333"/>
                <w:sz w:val="22"/>
                <w:szCs w:val="22"/>
              </w:rPr>
              <w:t>Eligibility of the MD/MS/PG Diploma Students  May /June -2016 examination – Reg</w:t>
            </w:r>
          </w:p>
          <w:p w:rsidR="000F31CD" w:rsidRPr="00D477A4" w:rsidRDefault="000F31CD" w:rsidP="00D53A90">
            <w:pPr>
              <w:jc w:val="both"/>
              <w:rPr>
                <w:rFonts w:ascii="Bookman Old Style" w:hAnsi="Bookman Old Style" w:cs="Bookman Old Style"/>
                <w:color w:val="333333"/>
                <w:sz w:val="12"/>
                <w:szCs w:val="12"/>
              </w:rPr>
            </w:pPr>
          </w:p>
        </w:tc>
      </w:tr>
      <w:tr w:rsidR="000F31CD" w:rsidRPr="00EB43E9">
        <w:trPr>
          <w:trHeight w:val="405"/>
          <w:jc w:val="center"/>
        </w:trPr>
        <w:tc>
          <w:tcPr>
            <w:tcW w:w="1084" w:type="dxa"/>
          </w:tcPr>
          <w:p w:rsidR="000F31CD" w:rsidRPr="00EB43E9" w:rsidRDefault="000F31CD" w:rsidP="00D53A90">
            <w:pPr>
              <w:rPr>
                <w:rFonts w:ascii="Bookman Old Style" w:hAnsi="Bookman Old Style" w:cs="Bookman Old Style"/>
                <w:color w:val="333333"/>
              </w:rPr>
            </w:pPr>
            <w:r w:rsidRPr="00EB43E9">
              <w:rPr>
                <w:rFonts w:ascii="Bookman Old Style" w:hAnsi="Bookman Old Style" w:cs="Bookman Old Style"/>
                <w:color w:val="333333"/>
                <w:sz w:val="22"/>
                <w:szCs w:val="22"/>
              </w:rPr>
              <w:t>Ref:</w:t>
            </w:r>
          </w:p>
        </w:tc>
        <w:tc>
          <w:tcPr>
            <w:tcW w:w="7784" w:type="dxa"/>
          </w:tcPr>
          <w:p w:rsidR="000F31CD" w:rsidRPr="00EB43E9" w:rsidRDefault="000F31CD" w:rsidP="00D477A4">
            <w:pPr>
              <w:numPr>
                <w:ilvl w:val="0"/>
                <w:numId w:val="2"/>
              </w:numPr>
              <w:jc w:val="both"/>
              <w:rPr>
                <w:rFonts w:ascii="Bookman Old Style" w:hAnsi="Bookman Old Style" w:cs="Bookman Old Style"/>
                <w:color w:val="333333"/>
              </w:rPr>
            </w:pPr>
            <w:r w:rsidRPr="00EB43E9">
              <w:rPr>
                <w:rFonts w:ascii="Bookman Old Style" w:hAnsi="Bookman Old Style" w:cs="Bookman Old Style"/>
                <w:color w:val="333333"/>
                <w:sz w:val="22"/>
                <w:szCs w:val="22"/>
              </w:rPr>
              <w:t>Proceedings of the committee meeting dated 07.04.2016</w:t>
            </w:r>
          </w:p>
          <w:p w:rsidR="000F31CD" w:rsidRPr="00EB43E9" w:rsidRDefault="000F31CD" w:rsidP="00D477A4">
            <w:pPr>
              <w:numPr>
                <w:ilvl w:val="0"/>
                <w:numId w:val="2"/>
              </w:numPr>
              <w:rPr>
                <w:rFonts w:ascii="Bookman Old Style" w:hAnsi="Bookman Old Style" w:cs="Bookman Old Style"/>
                <w:color w:val="333333"/>
              </w:rPr>
            </w:pPr>
            <w:r w:rsidRPr="00EB43E9">
              <w:rPr>
                <w:rFonts w:ascii="Bookman Old Style" w:hAnsi="Bookman Old Style" w:cs="Bookman Old Style"/>
                <w:color w:val="333333"/>
                <w:sz w:val="22"/>
                <w:szCs w:val="22"/>
              </w:rPr>
              <w:t>Hon’ble Supreme Court Order in I A No. 27-28 W.P. (C) No.306/2004</w:t>
            </w:r>
          </w:p>
          <w:p w:rsidR="000F31CD" w:rsidRPr="00EB43E9" w:rsidRDefault="000F31CD" w:rsidP="00D477A4">
            <w:pPr>
              <w:numPr>
                <w:ilvl w:val="0"/>
                <w:numId w:val="2"/>
              </w:numPr>
              <w:rPr>
                <w:rFonts w:ascii="Bookman Old Style" w:hAnsi="Bookman Old Style" w:cs="Bookman Old Style"/>
                <w:color w:val="333333"/>
              </w:rPr>
            </w:pPr>
            <w:r w:rsidRPr="00EB43E9">
              <w:rPr>
                <w:rFonts w:ascii="Bookman Old Style" w:hAnsi="Bookman Old Style" w:cs="Bookman Old Style"/>
                <w:color w:val="333333"/>
                <w:sz w:val="22"/>
                <w:szCs w:val="22"/>
              </w:rPr>
              <w:t>RGUHS Calendar of Event No. UA/Med.Deg/MDS-13/2013-14 dated 18.03.2014</w:t>
            </w:r>
          </w:p>
        </w:tc>
      </w:tr>
      <w:tr w:rsidR="000F31CD" w:rsidRPr="00EB43E9">
        <w:trPr>
          <w:trHeight w:val="405"/>
          <w:jc w:val="center"/>
        </w:trPr>
        <w:tc>
          <w:tcPr>
            <w:tcW w:w="1084" w:type="dxa"/>
          </w:tcPr>
          <w:p w:rsidR="000F31CD" w:rsidRPr="00EB43E9" w:rsidRDefault="000F31CD" w:rsidP="00D53A90">
            <w:pPr>
              <w:rPr>
                <w:rFonts w:ascii="Bookman Old Style" w:hAnsi="Bookman Old Style" w:cs="Bookman Old Style"/>
                <w:color w:val="333333"/>
              </w:rPr>
            </w:pPr>
          </w:p>
        </w:tc>
        <w:tc>
          <w:tcPr>
            <w:tcW w:w="7784" w:type="dxa"/>
          </w:tcPr>
          <w:p w:rsidR="000F31CD" w:rsidRPr="00EB43E9" w:rsidRDefault="000F31CD" w:rsidP="00D477A4">
            <w:pPr>
              <w:numPr>
                <w:ilvl w:val="0"/>
                <w:numId w:val="2"/>
              </w:numPr>
              <w:jc w:val="both"/>
              <w:rPr>
                <w:rFonts w:ascii="Bookman Old Style" w:hAnsi="Bookman Old Style" w:cs="Bookman Old Style"/>
                <w:color w:val="333333"/>
              </w:rPr>
            </w:pPr>
            <w:r>
              <w:rPr>
                <w:rFonts w:ascii="Bookman Old Style" w:hAnsi="Bookman Old Style" w:cs="Bookman Old Style"/>
                <w:color w:val="333333"/>
                <w:sz w:val="22"/>
                <w:szCs w:val="22"/>
              </w:rPr>
              <w:t>RGUHS/AC2-Adm/MCI-(Mise-01)2015-2016 dated 14/08/2015</w:t>
            </w:r>
          </w:p>
        </w:tc>
      </w:tr>
      <w:tr w:rsidR="000F31CD" w:rsidRPr="00EB43E9">
        <w:trPr>
          <w:trHeight w:val="405"/>
          <w:jc w:val="center"/>
        </w:trPr>
        <w:tc>
          <w:tcPr>
            <w:tcW w:w="1084" w:type="dxa"/>
          </w:tcPr>
          <w:p w:rsidR="000F31CD" w:rsidRPr="00EB43E9" w:rsidRDefault="000F31CD" w:rsidP="00D53A90">
            <w:pPr>
              <w:rPr>
                <w:rFonts w:ascii="Bookman Old Style" w:hAnsi="Bookman Old Style" w:cs="Bookman Old Style"/>
                <w:color w:val="333333"/>
              </w:rPr>
            </w:pPr>
          </w:p>
        </w:tc>
        <w:tc>
          <w:tcPr>
            <w:tcW w:w="7784" w:type="dxa"/>
          </w:tcPr>
          <w:p w:rsidR="000F31CD" w:rsidRDefault="000F31CD" w:rsidP="00D477A4">
            <w:pPr>
              <w:numPr>
                <w:ilvl w:val="0"/>
                <w:numId w:val="2"/>
              </w:numPr>
              <w:jc w:val="both"/>
              <w:rPr>
                <w:rFonts w:ascii="Bookman Old Style" w:hAnsi="Bookman Old Style" w:cs="Bookman Old Style"/>
                <w:color w:val="333333"/>
              </w:rPr>
            </w:pPr>
            <w:r>
              <w:rPr>
                <w:rFonts w:ascii="Bookman Old Style" w:hAnsi="Bookman Old Style" w:cs="Bookman Old Style"/>
                <w:color w:val="333333"/>
                <w:sz w:val="22"/>
                <w:szCs w:val="22"/>
              </w:rPr>
              <w:t>RGUHS Notification No.RGUHS/PGET/17/2012-13 dated 26/08/2013</w:t>
            </w:r>
          </w:p>
        </w:tc>
      </w:tr>
    </w:tbl>
    <w:p w:rsidR="000F31CD" w:rsidRPr="00EB43E9" w:rsidRDefault="000F31CD" w:rsidP="00D477A4">
      <w:pPr>
        <w:ind w:left="720"/>
        <w:rPr>
          <w:rFonts w:ascii="Bookman Old Style" w:hAnsi="Bookman Old Style" w:cs="Bookman Old Style"/>
          <w:color w:val="333333"/>
          <w:sz w:val="2"/>
          <w:szCs w:val="2"/>
        </w:rPr>
      </w:pPr>
    </w:p>
    <w:p w:rsidR="000F31CD" w:rsidRPr="00155222" w:rsidRDefault="000F31CD" w:rsidP="00D477A4">
      <w:pPr>
        <w:ind w:left="720"/>
        <w:rPr>
          <w:rFonts w:ascii="Bookman Old Style" w:hAnsi="Bookman Old Style" w:cs="Bookman Old Style"/>
          <w:color w:val="333333"/>
          <w:sz w:val="12"/>
          <w:szCs w:val="12"/>
        </w:rPr>
      </w:pPr>
    </w:p>
    <w:p w:rsidR="000F31CD" w:rsidRPr="00EB43E9" w:rsidRDefault="000F31CD" w:rsidP="00D477A4">
      <w:pPr>
        <w:ind w:firstLine="720"/>
        <w:jc w:val="both"/>
        <w:rPr>
          <w:rFonts w:ascii="Bookman Old Style" w:hAnsi="Bookman Old Style" w:cs="Bookman Old Style"/>
          <w:color w:val="333333"/>
          <w:sz w:val="22"/>
          <w:szCs w:val="22"/>
        </w:rPr>
      </w:pPr>
      <w:r w:rsidRPr="00EB43E9">
        <w:rPr>
          <w:rFonts w:ascii="Bookman Old Style" w:hAnsi="Bookman Old Style" w:cs="Bookman Old Style"/>
          <w:color w:val="333333"/>
          <w:sz w:val="22"/>
          <w:szCs w:val="22"/>
        </w:rPr>
        <w:t>With reference to the above, all the Principal / Dean/ Head of the Institution are hereby required to scrutinize the students for their eligibility in upcoming MD/MS/Diploma University examination of May/ June -2016 on the following guidelines.</w:t>
      </w:r>
    </w:p>
    <w:p w:rsidR="000F31CD" w:rsidRPr="00155222" w:rsidRDefault="000F31CD" w:rsidP="00D477A4">
      <w:pPr>
        <w:ind w:left="990" w:firstLine="1170"/>
        <w:jc w:val="both"/>
        <w:rPr>
          <w:rFonts w:ascii="Bookman Old Style" w:hAnsi="Bookman Old Style" w:cs="Bookman Old Style"/>
          <w:color w:val="333333"/>
          <w:sz w:val="8"/>
          <w:szCs w:val="8"/>
        </w:rPr>
      </w:pPr>
    </w:p>
    <w:p w:rsidR="000F31CD" w:rsidRDefault="000F31CD" w:rsidP="00D477A4">
      <w:pPr>
        <w:pStyle w:val="ListParagraph"/>
        <w:numPr>
          <w:ilvl w:val="0"/>
          <w:numId w:val="3"/>
        </w:numPr>
        <w:jc w:val="both"/>
        <w:rPr>
          <w:rFonts w:ascii="Bookman Old Style" w:hAnsi="Bookman Old Style" w:cs="Bookman Old Style"/>
          <w:color w:val="333333"/>
          <w:sz w:val="22"/>
          <w:szCs w:val="22"/>
        </w:rPr>
      </w:pPr>
      <w:r w:rsidRPr="00D477A4">
        <w:rPr>
          <w:rFonts w:ascii="Bookman Old Style" w:hAnsi="Bookman Old Style" w:cs="Bookman Old Style"/>
          <w:color w:val="333333"/>
          <w:sz w:val="22"/>
          <w:szCs w:val="22"/>
        </w:rPr>
        <w:t>Students should have completed 3 years in respect of MD/MS and two years in respect of Diploma course by the end of June -2016 from the date of commencement of academic session i.e. 25</w:t>
      </w:r>
      <w:r w:rsidRPr="00D477A4">
        <w:rPr>
          <w:rFonts w:ascii="Bookman Old Style" w:hAnsi="Bookman Old Style" w:cs="Bookman Old Style"/>
          <w:color w:val="333333"/>
          <w:sz w:val="22"/>
          <w:szCs w:val="22"/>
          <w:vertAlign w:val="superscript"/>
        </w:rPr>
        <w:t>th</w:t>
      </w:r>
      <w:r w:rsidRPr="00D477A4">
        <w:rPr>
          <w:rFonts w:ascii="Bookman Old Style" w:hAnsi="Bookman Old Style" w:cs="Bookman Old Style"/>
          <w:color w:val="333333"/>
          <w:sz w:val="22"/>
          <w:szCs w:val="22"/>
        </w:rPr>
        <w:t xml:space="preserve"> June 2013.</w:t>
      </w:r>
    </w:p>
    <w:p w:rsidR="000F31CD" w:rsidRDefault="000F31CD" w:rsidP="00D477A4">
      <w:pPr>
        <w:pStyle w:val="ListParagraph"/>
        <w:numPr>
          <w:ilvl w:val="0"/>
          <w:numId w:val="3"/>
        </w:numPr>
        <w:jc w:val="both"/>
        <w:rPr>
          <w:rFonts w:ascii="Bookman Old Style" w:hAnsi="Bookman Old Style" w:cs="Bookman Old Style"/>
          <w:color w:val="333333"/>
          <w:sz w:val="22"/>
          <w:szCs w:val="22"/>
        </w:rPr>
      </w:pPr>
      <w:r w:rsidRPr="00D477A4">
        <w:rPr>
          <w:rFonts w:ascii="Bookman Old Style" w:hAnsi="Bookman Old Style" w:cs="Bookman Old Style"/>
          <w:color w:val="333333"/>
          <w:sz w:val="22"/>
          <w:szCs w:val="22"/>
        </w:rPr>
        <w:t>Students should have had 80% attendance in each academic year.</w:t>
      </w:r>
    </w:p>
    <w:p w:rsidR="000F31CD" w:rsidRDefault="000F31CD" w:rsidP="00D477A4">
      <w:pPr>
        <w:pStyle w:val="ListParagraph"/>
        <w:numPr>
          <w:ilvl w:val="0"/>
          <w:numId w:val="3"/>
        </w:numPr>
        <w:jc w:val="both"/>
        <w:rPr>
          <w:rFonts w:ascii="Bookman Old Style" w:hAnsi="Bookman Old Style" w:cs="Bookman Old Style"/>
          <w:color w:val="333333"/>
          <w:sz w:val="22"/>
          <w:szCs w:val="22"/>
        </w:rPr>
      </w:pPr>
      <w:r w:rsidRPr="00D477A4">
        <w:rPr>
          <w:rFonts w:ascii="Bookman Old Style" w:hAnsi="Bookman Old Style" w:cs="Bookman Old Style"/>
          <w:color w:val="333333"/>
          <w:sz w:val="22"/>
          <w:szCs w:val="22"/>
        </w:rPr>
        <w:t>Students admitted in July &amp; August -2013 will have to be allowed for examination only during October -2016 as they will not be completing 2 years Diploma and 3 years MD/MS Courses by the end of June -2016.</w:t>
      </w:r>
    </w:p>
    <w:p w:rsidR="000F31CD" w:rsidRPr="00D477A4" w:rsidRDefault="000F31CD" w:rsidP="00D477A4">
      <w:pPr>
        <w:pStyle w:val="ListParagraph"/>
        <w:numPr>
          <w:ilvl w:val="0"/>
          <w:numId w:val="3"/>
        </w:numPr>
        <w:jc w:val="both"/>
        <w:rPr>
          <w:rFonts w:ascii="Bookman Old Style" w:hAnsi="Bookman Old Style" w:cs="Bookman Old Style"/>
          <w:color w:val="333333"/>
          <w:sz w:val="22"/>
          <w:szCs w:val="22"/>
        </w:rPr>
      </w:pPr>
      <w:r w:rsidRPr="00D477A4">
        <w:rPr>
          <w:rFonts w:ascii="Bookman Old Style" w:hAnsi="Bookman Old Style" w:cs="Bookman Old Style"/>
          <w:color w:val="333333"/>
          <w:sz w:val="22"/>
          <w:szCs w:val="22"/>
        </w:rPr>
        <w:t xml:space="preserve">Students who are admitted in May / June 2013 and then changed the institution in subsequent counseling, such students may be allowed to sit for examination subjected to the condition that specialty remains the same and students should produce the relevant attendance documents in support of it. </w:t>
      </w:r>
    </w:p>
    <w:p w:rsidR="000F31CD" w:rsidRPr="00155222" w:rsidRDefault="000F31CD" w:rsidP="00D477A4">
      <w:pPr>
        <w:ind w:left="1440" w:firstLine="720"/>
        <w:jc w:val="both"/>
        <w:rPr>
          <w:rFonts w:ascii="Bookman Old Style" w:hAnsi="Bookman Old Style" w:cs="Bookman Old Style"/>
          <w:color w:val="333333"/>
          <w:sz w:val="16"/>
          <w:szCs w:val="16"/>
        </w:rPr>
      </w:pPr>
    </w:p>
    <w:p w:rsidR="000F31CD" w:rsidRDefault="000F31CD" w:rsidP="00D477A4">
      <w:pPr>
        <w:jc w:val="both"/>
        <w:rPr>
          <w:rFonts w:ascii="Bookman Old Style" w:hAnsi="Bookman Old Style" w:cs="Bookman Old Style"/>
          <w:color w:val="333333"/>
          <w:sz w:val="2"/>
          <w:szCs w:val="2"/>
        </w:rPr>
      </w:pPr>
    </w:p>
    <w:p w:rsidR="000F31CD" w:rsidRPr="00EB43E9" w:rsidRDefault="000F31CD" w:rsidP="00D477A4">
      <w:pPr>
        <w:ind w:left="90" w:firstLine="720"/>
        <w:jc w:val="both"/>
        <w:rPr>
          <w:rFonts w:ascii="Bookman Old Style" w:hAnsi="Bookman Old Style" w:cs="Bookman Old Style"/>
          <w:color w:val="333333"/>
          <w:sz w:val="22"/>
          <w:szCs w:val="22"/>
        </w:rPr>
      </w:pPr>
      <w:r w:rsidRPr="00EB43E9">
        <w:rPr>
          <w:rFonts w:ascii="Bookman Old Style" w:hAnsi="Bookman Old Style" w:cs="Bookman Old Style"/>
          <w:color w:val="333333"/>
          <w:sz w:val="22"/>
          <w:szCs w:val="22"/>
        </w:rPr>
        <w:t xml:space="preserve">The above guidelines shall be followed mandatorily </w:t>
      </w:r>
    </w:p>
    <w:p w:rsidR="000F31CD" w:rsidRPr="00EB43E9" w:rsidRDefault="000F31CD" w:rsidP="00D477A4">
      <w:pPr>
        <w:spacing w:line="360" w:lineRule="auto"/>
        <w:ind w:left="1440" w:firstLine="720"/>
        <w:rPr>
          <w:rFonts w:ascii="Bookman Old Style" w:hAnsi="Bookman Old Style" w:cs="Bookman Old Style"/>
          <w:sz w:val="8"/>
          <w:szCs w:val="8"/>
        </w:rPr>
      </w:pPr>
    </w:p>
    <w:p w:rsidR="000F31CD" w:rsidRPr="00EB43E9" w:rsidRDefault="000F31CD" w:rsidP="00D477A4">
      <w:pPr>
        <w:spacing w:line="360" w:lineRule="auto"/>
        <w:ind w:firstLine="720"/>
        <w:rPr>
          <w:rFonts w:ascii="Bookman Old Style" w:hAnsi="Bookman Old Style" w:cs="Bookman Old Style"/>
          <w:sz w:val="22"/>
          <w:szCs w:val="22"/>
        </w:rPr>
      </w:pPr>
      <w:r>
        <w:rPr>
          <w:rFonts w:ascii="Bookman Old Style" w:hAnsi="Bookman Old Style" w:cs="Bookman Old Style"/>
          <w:sz w:val="22"/>
          <w:szCs w:val="22"/>
        </w:rPr>
        <w:t xml:space="preserve">Thanking you, </w:t>
      </w:r>
    </w:p>
    <w:p w:rsidR="000F31CD" w:rsidRPr="00155222" w:rsidRDefault="000F31CD" w:rsidP="00D477A4">
      <w:pPr>
        <w:ind w:left="4320" w:firstLine="720"/>
        <w:jc w:val="center"/>
        <w:rPr>
          <w:rFonts w:ascii="Bookman Old Style" w:hAnsi="Bookman Old Style" w:cs="Bookman Old Style"/>
          <w:color w:val="333333"/>
          <w:sz w:val="4"/>
          <w:szCs w:val="4"/>
        </w:rPr>
      </w:pPr>
    </w:p>
    <w:p w:rsidR="000F31CD" w:rsidRPr="00EB43E9" w:rsidRDefault="000F31CD" w:rsidP="00D477A4">
      <w:pPr>
        <w:ind w:left="4320" w:firstLine="720"/>
        <w:jc w:val="center"/>
        <w:rPr>
          <w:rFonts w:ascii="Bookman Old Style" w:hAnsi="Bookman Old Style" w:cs="Bookman Old Style"/>
          <w:color w:val="333333"/>
          <w:sz w:val="22"/>
          <w:szCs w:val="22"/>
        </w:rPr>
      </w:pPr>
    </w:p>
    <w:p w:rsidR="000F31CD" w:rsidRPr="00EB43E9" w:rsidRDefault="000F31CD" w:rsidP="00D477A4">
      <w:pPr>
        <w:ind w:left="5040" w:firstLine="720"/>
        <w:jc w:val="center"/>
        <w:rPr>
          <w:rFonts w:ascii="Bookman Old Style" w:hAnsi="Bookman Old Style" w:cs="Bookman Old Style"/>
          <w:color w:val="333333"/>
          <w:sz w:val="22"/>
          <w:szCs w:val="22"/>
        </w:rPr>
      </w:pPr>
      <w:r w:rsidRPr="00EB43E9">
        <w:rPr>
          <w:rFonts w:ascii="Bookman Old Style" w:hAnsi="Bookman Old Style" w:cs="Bookman Old Style"/>
          <w:color w:val="333333"/>
          <w:sz w:val="22"/>
          <w:szCs w:val="22"/>
        </w:rPr>
        <w:t>(Dr.S.Sacchidanand)</w:t>
      </w:r>
    </w:p>
    <w:p w:rsidR="000F31CD" w:rsidRPr="00EB43E9" w:rsidRDefault="000F31CD" w:rsidP="00D477A4">
      <w:pPr>
        <w:ind w:left="5040" w:firstLine="720"/>
        <w:jc w:val="center"/>
        <w:rPr>
          <w:rFonts w:ascii="Bookman Old Style" w:hAnsi="Bookman Old Style" w:cs="Bookman Old Style"/>
          <w:b/>
          <w:bCs/>
          <w:color w:val="333333"/>
          <w:sz w:val="22"/>
          <w:szCs w:val="22"/>
        </w:rPr>
      </w:pPr>
      <w:r w:rsidRPr="00EB43E9">
        <w:rPr>
          <w:rFonts w:ascii="Bookman Old Style" w:hAnsi="Bookman Old Style" w:cs="Bookman Old Style"/>
          <w:b/>
          <w:bCs/>
          <w:color w:val="333333"/>
          <w:sz w:val="22"/>
          <w:szCs w:val="22"/>
        </w:rPr>
        <w:t>Registrar (Evaluation)</w:t>
      </w:r>
    </w:p>
    <w:p w:rsidR="000F31CD" w:rsidRPr="008A5EEC" w:rsidRDefault="000F31CD" w:rsidP="00D477A4">
      <w:pPr>
        <w:spacing w:line="360" w:lineRule="auto"/>
        <w:ind w:left="1440"/>
        <w:jc w:val="both"/>
        <w:rPr>
          <w:rFonts w:ascii="Bookman Old Style" w:hAnsi="Bookman Old Style" w:cs="Bookman Old Style"/>
          <w:sz w:val="12"/>
          <w:szCs w:val="12"/>
        </w:rPr>
      </w:pPr>
    </w:p>
    <w:p w:rsidR="000F31CD" w:rsidRPr="00EB43E9" w:rsidRDefault="000F31CD" w:rsidP="00D477A4">
      <w:pPr>
        <w:spacing w:line="360" w:lineRule="auto"/>
        <w:ind w:left="1440"/>
        <w:jc w:val="both"/>
        <w:rPr>
          <w:rFonts w:ascii="Bookman Old Style" w:hAnsi="Bookman Old Style" w:cs="Bookman Old Style"/>
          <w:sz w:val="22"/>
          <w:szCs w:val="22"/>
        </w:rPr>
      </w:pPr>
      <w:r w:rsidRPr="00EB43E9">
        <w:rPr>
          <w:rFonts w:ascii="Bookman Old Style" w:hAnsi="Bookman Old Style" w:cs="Bookman Old Style"/>
          <w:sz w:val="22"/>
          <w:szCs w:val="22"/>
        </w:rPr>
        <w:t xml:space="preserve">Copy to: </w:t>
      </w:r>
    </w:p>
    <w:p w:rsidR="000F31CD" w:rsidRPr="00EB43E9" w:rsidRDefault="000F31CD" w:rsidP="00D477A4">
      <w:pPr>
        <w:numPr>
          <w:ilvl w:val="0"/>
          <w:numId w:val="1"/>
        </w:numPr>
        <w:jc w:val="both"/>
        <w:rPr>
          <w:rFonts w:ascii="Bookman Old Style" w:hAnsi="Bookman Old Style" w:cs="Bookman Old Style"/>
          <w:sz w:val="22"/>
          <w:szCs w:val="22"/>
        </w:rPr>
      </w:pPr>
      <w:r w:rsidRPr="00EB43E9">
        <w:rPr>
          <w:rFonts w:ascii="Bookman Old Style" w:hAnsi="Bookman Old Style" w:cs="Bookman Old Style"/>
          <w:sz w:val="22"/>
          <w:szCs w:val="22"/>
        </w:rPr>
        <w:t>PA to VC/Registrar/Finance Officer, RGUHS</w:t>
      </w:r>
    </w:p>
    <w:p w:rsidR="000F31CD" w:rsidRPr="00EB43E9" w:rsidRDefault="000F31CD" w:rsidP="00D477A4">
      <w:pPr>
        <w:numPr>
          <w:ilvl w:val="0"/>
          <w:numId w:val="1"/>
        </w:numPr>
        <w:jc w:val="both"/>
        <w:rPr>
          <w:rFonts w:ascii="Bookman Old Style" w:hAnsi="Bookman Old Style" w:cs="Bookman Old Style"/>
          <w:sz w:val="22"/>
          <w:szCs w:val="22"/>
        </w:rPr>
      </w:pPr>
      <w:r w:rsidRPr="00EB43E9">
        <w:rPr>
          <w:rFonts w:ascii="Bookman Old Style" w:hAnsi="Bookman Old Style" w:cs="Bookman Old Style"/>
          <w:sz w:val="22"/>
          <w:szCs w:val="22"/>
        </w:rPr>
        <w:t>All the Officers of RGUHS</w:t>
      </w:r>
    </w:p>
    <w:p w:rsidR="000F31CD" w:rsidRPr="00D477A4" w:rsidRDefault="000F31CD" w:rsidP="00D477A4">
      <w:pPr>
        <w:numPr>
          <w:ilvl w:val="0"/>
          <w:numId w:val="1"/>
        </w:numPr>
        <w:jc w:val="both"/>
        <w:rPr>
          <w:rFonts w:ascii="Bookman Old Style" w:hAnsi="Bookman Old Style" w:cs="Bookman Old Style"/>
          <w:sz w:val="22"/>
          <w:szCs w:val="22"/>
        </w:rPr>
      </w:pPr>
      <w:r w:rsidRPr="00EB43E9">
        <w:rPr>
          <w:rFonts w:ascii="Bookman Old Style" w:hAnsi="Bookman Old Style" w:cs="Bookman Old Style"/>
          <w:sz w:val="22"/>
          <w:szCs w:val="22"/>
        </w:rPr>
        <w:t>Office Copy</w:t>
      </w:r>
    </w:p>
    <w:sectPr w:rsidR="000F31CD" w:rsidRPr="00D477A4" w:rsidSect="00F55C1C">
      <w:pgSz w:w="11909" w:h="16834" w:code="9"/>
      <w:pgMar w:top="540" w:right="864" w:bottom="720"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udi Akshara-09">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97E"/>
    <w:multiLevelType w:val="hybridMultilevel"/>
    <w:tmpl w:val="912A776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240333AF"/>
    <w:multiLevelType w:val="hybridMultilevel"/>
    <w:tmpl w:val="65AE3DF8"/>
    <w:lvl w:ilvl="0" w:tplc="C1BA7D36">
      <w:start w:val="1"/>
      <w:numFmt w:val="decimal"/>
      <w:lvlText w:val="%1."/>
      <w:lvlJc w:val="left"/>
      <w:pPr>
        <w:ind w:left="1170" w:hanging="360"/>
      </w:pPr>
      <w:rPr>
        <w:rFonts w:ascii="Bookman Old Style" w:eastAsia="Times New Roman" w:hAnsi="Bookman Old Style"/>
      </w:rPr>
    </w:lvl>
    <w:lvl w:ilvl="1" w:tplc="40090019">
      <w:start w:val="1"/>
      <w:numFmt w:val="lowerLetter"/>
      <w:lvlText w:val="%2."/>
      <w:lvlJc w:val="left"/>
      <w:pPr>
        <w:ind w:left="1890" w:hanging="360"/>
      </w:pPr>
    </w:lvl>
    <w:lvl w:ilvl="2" w:tplc="4009001B">
      <w:start w:val="1"/>
      <w:numFmt w:val="lowerRoman"/>
      <w:lvlText w:val="%3."/>
      <w:lvlJc w:val="right"/>
      <w:pPr>
        <w:ind w:left="2610" w:hanging="180"/>
      </w:pPr>
    </w:lvl>
    <w:lvl w:ilvl="3" w:tplc="4009000F">
      <w:start w:val="1"/>
      <w:numFmt w:val="decimal"/>
      <w:lvlText w:val="%4."/>
      <w:lvlJc w:val="left"/>
      <w:pPr>
        <w:ind w:left="3330" w:hanging="360"/>
      </w:pPr>
    </w:lvl>
    <w:lvl w:ilvl="4" w:tplc="40090019">
      <w:start w:val="1"/>
      <w:numFmt w:val="lowerLetter"/>
      <w:lvlText w:val="%5."/>
      <w:lvlJc w:val="left"/>
      <w:pPr>
        <w:ind w:left="4050" w:hanging="360"/>
      </w:pPr>
    </w:lvl>
    <w:lvl w:ilvl="5" w:tplc="4009001B">
      <w:start w:val="1"/>
      <w:numFmt w:val="lowerRoman"/>
      <w:lvlText w:val="%6."/>
      <w:lvlJc w:val="right"/>
      <w:pPr>
        <w:ind w:left="4770" w:hanging="180"/>
      </w:pPr>
    </w:lvl>
    <w:lvl w:ilvl="6" w:tplc="4009000F">
      <w:start w:val="1"/>
      <w:numFmt w:val="decimal"/>
      <w:lvlText w:val="%7."/>
      <w:lvlJc w:val="left"/>
      <w:pPr>
        <w:ind w:left="5490" w:hanging="360"/>
      </w:pPr>
    </w:lvl>
    <w:lvl w:ilvl="7" w:tplc="40090019">
      <w:start w:val="1"/>
      <w:numFmt w:val="lowerLetter"/>
      <w:lvlText w:val="%8."/>
      <w:lvlJc w:val="left"/>
      <w:pPr>
        <w:ind w:left="6210" w:hanging="360"/>
      </w:pPr>
    </w:lvl>
    <w:lvl w:ilvl="8" w:tplc="4009001B">
      <w:start w:val="1"/>
      <w:numFmt w:val="lowerRoman"/>
      <w:lvlText w:val="%9."/>
      <w:lvlJc w:val="right"/>
      <w:pPr>
        <w:ind w:left="6930" w:hanging="180"/>
      </w:pPr>
    </w:lvl>
  </w:abstractNum>
  <w:abstractNum w:abstractNumId="2">
    <w:nsid w:val="45964E3C"/>
    <w:multiLevelType w:val="hybridMultilevel"/>
    <w:tmpl w:val="C4380F8A"/>
    <w:lvl w:ilvl="0" w:tplc="59B4AA24">
      <w:start w:val="1"/>
      <w:numFmt w:val="decimal"/>
      <w:lvlText w:val="%1."/>
      <w:lvlJc w:val="left"/>
      <w:pPr>
        <w:ind w:left="2520" w:hanging="360"/>
      </w:pPr>
      <w:rPr>
        <w:rFonts w:hint="default"/>
      </w:r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start w:val="1"/>
      <w:numFmt w:val="lowerLetter"/>
      <w:lvlText w:val="%5."/>
      <w:lvlJc w:val="left"/>
      <w:pPr>
        <w:ind w:left="5400" w:hanging="360"/>
      </w:pPr>
    </w:lvl>
    <w:lvl w:ilvl="5" w:tplc="4009001B">
      <w:start w:val="1"/>
      <w:numFmt w:val="lowerRoman"/>
      <w:lvlText w:val="%6."/>
      <w:lvlJc w:val="right"/>
      <w:pPr>
        <w:ind w:left="6120" w:hanging="180"/>
      </w:pPr>
    </w:lvl>
    <w:lvl w:ilvl="6" w:tplc="4009000F">
      <w:start w:val="1"/>
      <w:numFmt w:val="decimal"/>
      <w:lvlText w:val="%7."/>
      <w:lvlJc w:val="left"/>
      <w:pPr>
        <w:ind w:left="6840" w:hanging="360"/>
      </w:pPr>
    </w:lvl>
    <w:lvl w:ilvl="7" w:tplc="40090019">
      <w:start w:val="1"/>
      <w:numFmt w:val="lowerLetter"/>
      <w:lvlText w:val="%8."/>
      <w:lvlJc w:val="left"/>
      <w:pPr>
        <w:ind w:left="7560" w:hanging="360"/>
      </w:pPr>
    </w:lvl>
    <w:lvl w:ilvl="8" w:tplc="4009001B">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7A4"/>
    <w:rsid w:val="0008148E"/>
    <w:rsid w:val="000F31CD"/>
    <w:rsid w:val="00155222"/>
    <w:rsid w:val="00561EAE"/>
    <w:rsid w:val="0060392E"/>
    <w:rsid w:val="00657C40"/>
    <w:rsid w:val="008A5EEC"/>
    <w:rsid w:val="00A5217C"/>
    <w:rsid w:val="00AB3F8A"/>
    <w:rsid w:val="00D477A4"/>
    <w:rsid w:val="00D53A90"/>
    <w:rsid w:val="00E1499F"/>
    <w:rsid w:val="00EB43E9"/>
    <w:rsid w:val="00F55C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A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477A4"/>
    <w:pPr>
      <w:jc w:val="center"/>
    </w:pPr>
    <w:rPr>
      <w:b/>
      <w:bCs/>
      <w:sz w:val="28"/>
      <w:szCs w:val="28"/>
      <w:u w:val="single"/>
    </w:rPr>
  </w:style>
  <w:style w:type="character" w:customStyle="1" w:styleId="TitleChar">
    <w:name w:val="Title Char"/>
    <w:basedOn w:val="DefaultParagraphFont"/>
    <w:link w:val="Title"/>
    <w:uiPriority w:val="99"/>
    <w:rsid w:val="00D477A4"/>
    <w:rPr>
      <w:rFonts w:ascii="Times New Roman" w:hAnsi="Times New Roman" w:cs="Times New Roman"/>
      <w:b/>
      <w:bCs/>
      <w:sz w:val="24"/>
      <w:szCs w:val="24"/>
      <w:u w:val="single"/>
      <w:lang w:val="en-US"/>
    </w:rPr>
  </w:style>
  <w:style w:type="paragraph" w:styleId="BalloonText">
    <w:name w:val="Balloon Text"/>
    <w:basedOn w:val="Normal"/>
    <w:link w:val="BalloonTextChar"/>
    <w:uiPriority w:val="99"/>
    <w:semiHidden/>
    <w:rsid w:val="00D477A4"/>
    <w:rPr>
      <w:rFonts w:ascii="Tahoma" w:hAnsi="Tahoma" w:cs="Tahoma"/>
      <w:sz w:val="16"/>
      <w:szCs w:val="16"/>
    </w:rPr>
  </w:style>
  <w:style w:type="character" w:customStyle="1" w:styleId="BalloonTextChar">
    <w:name w:val="Balloon Text Char"/>
    <w:basedOn w:val="DefaultParagraphFont"/>
    <w:link w:val="BalloonText"/>
    <w:uiPriority w:val="99"/>
    <w:semiHidden/>
    <w:rsid w:val="00D477A4"/>
    <w:rPr>
      <w:rFonts w:ascii="Tahoma" w:hAnsi="Tahoma" w:cs="Tahoma"/>
      <w:sz w:val="16"/>
      <w:szCs w:val="16"/>
      <w:lang w:val="en-US"/>
    </w:rPr>
  </w:style>
  <w:style w:type="paragraph" w:styleId="ListParagraph">
    <w:name w:val="List Paragraph"/>
    <w:basedOn w:val="Normal"/>
    <w:uiPriority w:val="99"/>
    <w:qFormat/>
    <w:rsid w:val="00D477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272</Words>
  <Characters>1553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RGUHS</dc:creator>
  <cp:keywords/>
  <dc:description/>
  <cp:lastModifiedBy>convo</cp:lastModifiedBy>
  <cp:revision>2</cp:revision>
  <cp:lastPrinted>2016-04-20T06:48:00Z</cp:lastPrinted>
  <dcterms:created xsi:type="dcterms:W3CDTF">2016-04-20T06:38:00Z</dcterms:created>
  <dcterms:modified xsi:type="dcterms:W3CDTF">2016-04-20T06:48:00Z</dcterms:modified>
</cp:coreProperties>
</file>